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EAB76" w14:textId="77777777" w:rsidR="00C14F1B" w:rsidRDefault="00C14F1B">
      <w:pPr>
        <w:spacing w:line="480" w:lineRule="auto"/>
        <w:jc w:val="center"/>
        <w:rPr>
          <w:rFonts w:ascii="Times New Roman" w:hAnsi="Times New Roman" w:cs="Times New Roman"/>
          <w:color w:val="1B1B1B"/>
          <w:sz w:val="24"/>
          <w:szCs w:val="24"/>
          <w:shd w:val="clear" w:color="auto" w:fill="FFFFFF"/>
        </w:rPr>
      </w:pPr>
    </w:p>
    <w:p w14:paraId="20D4BDE3" w14:textId="77777777" w:rsidR="00C14F1B" w:rsidRDefault="00C14F1B">
      <w:pPr>
        <w:spacing w:line="480" w:lineRule="auto"/>
        <w:jc w:val="center"/>
        <w:rPr>
          <w:rFonts w:ascii="Times New Roman" w:hAnsi="Times New Roman" w:cs="Times New Roman"/>
          <w:color w:val="1B1B1B"/>
          <w:sz w:val="24"/>
          <w:szCs w:val="24"/>
          <w:shd w:val="clear" w:color="auto" w:fill="FFFFFF"/>
        </w:rPr>
      </w:pPr>
    </w:p>
    <w:p w14:paraId="1C857639" w14:textId="77777777" w:rsidR="00C14F1B" w:rsidRDefault="00C14F1B">
      <w:pPr>
        <w:spacing w:line="480" w:lineRule="auto"/>
        <w:jc w:val="center"/>
        <w:rPr>
          <w:rFonts w:ascii="Times New Roman" w:hAnsi="Times New Roman" w:cs="Times New Roman"/>
          <w:color w:val="1B1B1B"/>
          <w:sz w:val="24"/>
          <w:szCs w:val="24"/>
          <w:shd w:val="clear" w:color="auto" w:fill="FFFFFF"/>
        </w:rPr>
      </w:pPr>
    </w:p>
    <w:p w14:paraId="47152A7E" w14:textId="77777777" w:rsidR="00C14F1B" w:rsidRDefault="00C14F1B">
      <w:pPr>
        <w:spacing w:line="480" w:lineRule="auto"/>
        <w:jc w:val="center"/>
        <w:rPr>
          <w:rFonts w:ascii="Times New Roman" w:hAnsi="Times New Roman" w:cs="Times New Roman"/>
          <w:color w:val="1B1B1B"/>
          <w:sz w:val="24"/>
          <w:szCs w:val="24"/>
          <w:shd w:val="clear" w:color="auto" w:fill="FFFFFF"/>
        </w:rPr>
      </w:pPr>
    </w:p>
    <w:p w14:paraId="120C100C" w14:textId="77777777" w:rsidR="00C14F1B" w:rsidRDefault="00C14F1B">
      <w:pPr>
        <w:spacing w:line="480" w:lineRule="auto"/>
        <w:jc w:val="center"/>
        <w:rPr>
          <w:rFonts w:ascii="Times New Roman" w:hAnsi="Times New Roman" w:cs="Times New Roman"/>
          <w:color w:val="1B1B1B"/>
          <w:sz w:val="24"/>
          <w:szCs w:val="24"/>
          <w:shd w:val="clear" w:color="auto" w:fill="FFFFFF"/>
        </w:rPr>
      </w:pPr>
    </w:p>
    <w:p w14:paraId="73D061E4" w14:textId="77777777" w:rsidR="00C14F1B" w:rsidRDefault="00C14F1B">
      <w:pPr>
        <w:spacing w:line="480" w:lineRule="auto"/>
        <w:jc w:val="center"/>
        <w:rPr>
          <w:rFonts w:ascii="Times New Roman" w:hAnsi="Times New Roman" w:cs="Times New Roman"/>
          <w:color w:val="1B1B1B"/>
          <w:sz w:val="24"/>
          <w:szCs w:val="24"/>
          <w:shd w:val="clear" w:color="auto" w:fill="FFFFFF"/>
        </w:rPr>
      </w:pPr>
    </w:p>
    <w:p w14:paraId="1C485740" w14:textId="77777777" w:rsidR="00C14F1B" w:rsidRDefault="003B5D6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Student Name</w:t>
      </w:r>
    </w:p>
    <w:p w14:paraId="1E47E9A0" w14:textId="77777777" w:rsidR="00C14F1B" w:rsidRDefault="003B5D6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Institution Affiliations</w:t>
      </w:r>
    </w:p>
    <w:p w14:paraId="47DA5B84" w14:textId="77777777" w:rsidR="00C14F1B" w:rsidRDefault="003B5D6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Date</w:t>
      </w:r>
    </w:p>
    <w:p w14:paraId="1EF5C03B" w14:textId="77777777" w:rsidR="00C14F1B" w:rsidRDefault="00C14F1B">
      <w:pPr>
        <w:spacing w:line="480" w:lineRule="auto"/>
        <w:rPr>
          <w:rFonts w:ascii="Times New Roman" w:hAnsi="Times New Roman" w:cs="Times New Roman"/>
          <w:color w:val="1B1B1B"/>
          <w:sz w:val="24"/>
          <w:szCs w:val="24"/>
          <w:shd w:val="clear" w:color="auto" w:fill="FFFFFF"/>
        </w:rPr>
      </w:pPr>
    </w:p>
    <w:p w14:paraId="54DC52C7" w14:textId="77777777" w:rsidR="00C14F1B" w:rsidRDefault="003B5D6F">
      <w:pPr>
        <w:spacing w:line="48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14:paraId="236070BD" w14:textId="77777777" w:rsidR="00C14F1B" w:rsidRPr="003B4E6F" w:rsidRDefault="003B5D6F" w:rsidP="003B4E6F">
      <w:pPr>
        <w:spacing w:line="480" w:lineRule="auto"/>
        <w:jc w:val="center"/>
        <w:rPr>
          <w:rFonts w:ascii="Times New Roman" w:hAnsi="Times New Roman" w:cs="Times New Roman"/>
          <w:b/>
          <w:bCs/>
          <w:color w:val="1B1B1B"/>
          <w:sz w:val="24"/>
          <w:szCs w:val="24"/>
          <w:shd w:val="clear" w:color="auto" w:fill="FFFFFF"/>
        </w:rPr>
      </w:pPr>
      <w:r w:rsidRPr="003B4E6F">
        <w:rPr>
          <w:rFonts w:ascii="Times New Roman" w:hAnsi="Times New Roman" w:cs="Times New Roman"/>
          <w:b/>
          <w:bCs/>
          <w:color w:val="1B1B1B"/>
          <w:sz w:val="24"/>
          <w:szCs w:val="24"/>
          <w:shd w:val="clear" w:color="auto" w:fill="FFFFFF"/>
        </w:rPr>
        <w:lastRenderedPageBreak/>
        <w:t>Response 1</w:t>
      </w:r>
    </w:p>
    <w:p w14:paraId="45D1D156" w14:textId="77777777" w:rsidR="00C14F1B" w:rsidRDefault="003B5D6F" w:rsidP="003B4E6F">
      <w:pPr>
        <w:spacing w:line="480" w:lineRule="auto"/>
        <w:ind w:firstLine="720"/>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case study highlights the main issues related to Rheumatoid Arthritis (RA) from Healthy People 2020, objectives, description of the pathophysiology, disease diagnosis, management and treatments, and medications. The case study's pathophysiology </w:t>
      </w:r>
      <w:r>
        <w:rPr>
          <w:rFonts w:hAnsi="Times New Roman" w:cs="Times New Roman"/>
          <w:color w:val="1B1B1B"/>
          <w:sz w:val="24"/>
          <w:szCs w:val="24"/>
          <w:shd w:val="clear" w:color="auto" w:fill="FFFFFF"/>
        </w:rPr>
        <w:t>states</w:t>
      </w:r>
      <w:r>
        <w:rPr>
          <w:rFonts w:ascii="Times New Roman" w:hAnsi="Times New Roman" w:cs="Times New Roman"/>
          <w:color w:val="1B1B1B"/>
          <w:sz w:val="24"/>
          <w:szCs w:val="24"/>
          <w:shd w:val="clear" w:color="auto" w:fill="FFFFFF"/>
        </w:rPr>
        <w:t xml:space="preserve"> the cause of RA </w:t>
      </w:r>
      <w:r>
        <w:rPr>
          <w:rFonts w:hAnsi="Times New Roman" w:cs="Times New Roman"/>
          <w:color w:val="1B1B1B"/>
          <w:sz w:val="24"/>
          <w:szCs w:val="24"/>
          <w:shd w:val="clear" w:color="auto" w:fill="FFFFFF"/>
        </w:rPr>
        <w:t xml:space="preserve">as </w:t>
      </w:r>
      <w:r>
        <w:rPr>
          <w:rFonts w:ascii="Times New Roman" w:hAnsi="Times New Roman" w:cs="Times New Roman"/>
          <w:color w:val="1B1B1B"/>
          <w:sz w:val="24"/>
          <w:szCs w:val="24"/>
          <w:shd w:val="clear" w:color="auto" w:fill="FFFFFF"/>
        </w:rPr>
        <w:t xml:space="preserve">unknown. RA is caused by a person's immune system attacking healthy cells, causing inflammations. On the other hand, the case study missed explaining diagnostic by directly reviewing the symptoms and conduction of physical examinations as the CDC report indicates. CDC data suggests that these common forms of diagnosing the infection help suppress the inflammation and reduce RA's damaging effects. Besides, the case study explains in detail the treatment and management of the disease. Another form of therapy you failed to explain is the biological response modifier and personal management strategies like exercise, which help improve joint function. </w:t>
      </w:r>
    </w:p>
    <w:p w14:paraId="1D589F72" w14:textId="77777777" w:rsidR="00C14F1B" w:rsidRPr="003B4E6F" w:rsidRDefault="00C14F1B" w:rsidP="003B4E6F">
      <w:pPr>
        <w:spacing w:line="480" w:lineRule="auto"/>
        <w:jc w:val="center"/>
        <w:rPr>
          <w:rFonts w:ascii="Times New Roman" w:hAnsi="Times New Roman" w:cs="Times New Roman"/>
          <w:b/>
          <w:bCs/>
          <w:color w:val="1B1B1B"/>
          <w:sz w:val="24"/>
          <w:szCs w:val="24"/>
          <w:shd w:val="clear" w:color="auto" w:fill="FFFFFF"/>
        </w:rPr>
      </w:pPr>
    </w:p>
    <w:p w14:paraId="6BE98BAA" w14:textId="77777777" w:rsidR="00C14F1B" w:rsidRPr="003B4E6F" w:rsidRDefault="003B5D6F" w:rsidP="003B4E6F">
      <w:pPr>
        <w:spacing w:line="480" w:lineRule="auto"/>
        <w:jc w:val="center"/>
        <w:rPr>
          <w:rFonts w:ascii="Times New Roman" w:hAnsi="Times New Roman" w:cs="Times New Roman"/>
          <w:b/>
          <w:bCs/>
          <w:color w:val="1B1B1B"/>
          <w:sz w:val="24"/>
          <w:szCs w:val="24"/>
          <w:shd w:val="clear" w:color="auto" w:fill="FFFFFF"/>
        </w:rPr>
      </w:pPr>
      <w:r w:rsidRPr="003B4E6F">
        <w:rPr>
          <w:rFonts w:ascii="Times New Roman" w:hAnsi="Times New Roman" w:cs="Times New Roman"/>
          <w:b/>
          <w:bCs/>
          <w:color w:val="1B1B1B"/>
          <w:sz w:val="24"/>
          <w:szCs w:val="24"/>
          <w:shd w:val="clear" w:color="auto" w:fill="FFFFFF"/>
        </w:rPr>
        <w:t>Response 2</w:t>
      </w:r>
    </w:p>
    <w:p w14:paraId="799FDBE2" w14:textId="0A3DC011" w:rsidR="00C14F1B" w:rsidRDefault="003B5D6F" w:rsidP="003B4E6F">
      <w:pPr>
        <w:spacing w:line="480" w:lineRule="auto"/>
        <w:ind w:firstLine="720"/>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case study is </w:t>
      </w:r>
      <w:r>
        <w:rPr>
          <w:rFonts w:hAnsi="Times New Roman" w:cs="Times New Roman"/>
          <w:color w:val="1B1B1B"/>
          <w:sz w:val="24"/>
          <w:szCs w:val="24"/>
          <w:shd w:val="clear" w:color="auto" w:fill="FFFFFF"/>
        </w:rPr>
        <w:t>well presented in a simple way that can be understood by a third person with no knowledge of RA</w:t>
      </w:r>
      <w:r>
        <w:rPr>
          <w:rFonts w:ascii="Times New Roman" w:hAnsi="Times New Roman" w:cs="Times New Roman"/>
          <w:color w:val="1B1B1B"/>
          <w:sz w:val="24"/>
          <w:szCs w:val="24"/>
          <w:shd w:val="clear" w:color="auto" w:fill="FFFFFF"/>
        </w:rPr>
        <w:t xml:space="preserve">. In addition to the case study, the increasing risk factors of RA include gender – higher in women than men, age, the genetic composition of the patient, health condition, and lifestyle. For instance, smokers are at a greater risk of suffering from RA. The signs and symptoms further include joint pains, tender and swelled joints, fever, weight loss, and fatigue. RA can also cause the failure of internal body organs like the heart, lungs, and eyes if the tissues are affected. </w:t>
      </w:r>
      <w:r w:rsidR="004F1ED0">
        <w:rPr>
          <w:rFonts w:ascii="Times New Roman" w:hAnsi="Times New Roman" w:cs="Times New Roman"/>
          <w:color w:val="1B1B1B"/>
          <w:sz w:val="24"/>
          <w:szCs w:val="24"/>
          <w:shd w:val="clear" w:color="auto" w:fill="FFFFFF"/>
        </w:rPr>
        <w:t xml:space="preserve"> According </w:t>
      </w:r>
      <w:r w:rsidR="004F1ED0" w:rsidRPr="003858FC">
        <w:rPr>
          <w:rFonts w:ascii="Times New Roman" w:hAnsi="Times New Roman" w:cs="Times New Roman"/>
          <w:color w:val="000000" w:themeColor="text1"/>
          <w:sz w:val="24"/>
          <w:szCs w:val="24"/>
          <w:shd w:val="clear" w:color="auto" w:fill="FFFFFF"/>
        </w:rPr>
        <w:t>to (</w:t>
      </w:r>
      <w:r w:rsidR="003858FC" w:rsidRPr="003858FC">
        <w:rPr>
          <w:rFonts w:ascii="Times New Roman" w:hAnsi="Times New Roman" w:cs="Times New Roman"/>
          <w:color w:val="000000" w:themeColor="text1"/>
          <w:sz w:val="24"/>
          <w:szCs w:val="24"/>
          <w:shd w:val="clear" w:color="auto" w:fill="FFFFFF"/>
        </w:rPr>
        <w:t>Van Hoovels</w:t>
      </w:r>
      <w:r w:rsidR="003858FC" w:rsidRPr="003858FC">
        <w:rPr>
          <w:rFonts w:ascii="Times New Roman" w:hAnsi="Times New Roman" w:cs="Times New Roman"/>
          <w:color w:val="000000" w:themeColor="text1"/>
          <w:sz w:val="24"/>
          <w:szCs w:val="24"/>
          <w:shd w:val="clear" w:color="auto" w:fill="FFFFFF"/>
        </w:rPr>
        <w:t xml:space="preserve"> et.al </w:t>
      </w:r>
      <w:r w:rsidR="003858FC" w:rsidRPr="003858FC">
        <w:rPr>
          <w:rFonts w:ascii="Times New Roman" w:hAnsi="Times New Roman" w:cs="Times New Roman"/>
          <w:color w:val="000000" w:themeColor="text1"/>
          <w:sz w:val="24"/>
          <w:szCs w:val="24"/>
          <w:shd w:val="clear" w:color="auto" w:fill="FFFFFF"/>
        </w:rPr>
        <w:t xml:space="preserve">2018). </w:t>
      </w:r>
      <w:r w:rsidR="004F1ED0">
        <w:rPr>
          <w:rFonts w:ascii="Times New Roman" w:hAnsi="Times New Roman" w:cs="Times New Roman"/>
          <w:color w:val="1B1B1B"/>
          <w:sz w:val="24"/>
          <w:szCs w:val="24"/>
          <w:shd w:val="clear" w:color="auto" w:fill="FFFFFF"/>
        </w:rPr>
        <w:t>Diagnostic</w:t>
      </w:r>
      <w:r>
        <w:rPr>
          <w:rFonts w:ascii="Times New Roman" w:hAnsi="Times New Roman" w:cs="Times New Roman"/>
          <w:color w:val="1B1B1B"/>
          <w:sz w:val="24"/>
          <w:szCs w:val="24"/>
          <w:shd w:val="clear" w:color="auto" w:fill="FFFFFF"/>
        </w:rPr>
        <w:t xml:space="preserve"> tools include ESR and the C-reactive protein test and Rheumatoid factor test, Antinuclear protein, and complete blood </w:t>
      </w:r>
      <w:r>
        <w:rPr>
          <w:rFonts w:ascii="Times New Roman" w:hAnsi="Times New Roman" w:cs="Times New Roman"/>
          <w:color w:val="1B1B1B"/>
          <w:sz w:val="24"/>
          <w:szCs w:val="24"/>
          <w:shd w:val="clear" w:color="auto" w:fill="FFFFFF"/>
        </w:rPr>
        <w:lastRenderedPageBreak/>
        <w:t xml:space="preserve">count. Radiography may also be considered in helping to show bony erosions. The case study is very brief in the explanation of the management and treatment of RA. Asides from the stated management criteria, the patient, can also use sensitive motor devices like canes and crutches, spiritual enhancement medications, and chiropractic management to release pressure. Besides, the Disease-Modifying Antirheumatic Drugs (DMARDS) are helpful for long-term treatment. </w:t>
      </w:r>
    </w:p>
    <w:p w14:paraId="3E769AD0" w14:textId="77777777" w:rsidR="003B5D6F" w:rsidRDefault="003B5D6F">
      <w:pPr>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br w:type="page"/>
      </w:r>
    </w:p>
    <w:p w14:paraId="2A1C169E" w14:textId="4362C043" w:rsidR="00980613" w:rsidRPr="003B5D6F" w:rsidRDefault="00980613">
      <w:pPr>
        <w:spacing w:line="480" w:lineRule="auto"/>
        <w:rPr>
          <w:rFonts w:ascii="Times New Roman" w:hAnsi="Times New Roman" w:cs="Times New Roman"/>
          <w:b/>
          <w:bCs/>
          <w:color w:val="1B1B1B"/>
          <w:sz w:val="24"/>
          <w:szCs w:val="24"/>
          <w:shd w:val="clear" w:color="auto" w:fill="FFFFFF"/>
        </w:rPr>
      </w:pPr>
      <w:r w:rsidRPr="003B5D6F">
        <w:rPr>
          <w:rFonts w:ascii="Times New Roman" w:hAnsi="Times New Roman" w:cs="Times New Roman"/>
          <w:b/>
          <w:bCs/>
          <w:color w:val="1B1B1B"/>
          <w:sz w:val="24"/>
          <w:szCs w:val="24"/>
          <w:shd w:val="clear" w:color="auto" w:fill="FFFFFF"/>
        </w:rPr>
        <w:lastRenderedPageBreak/>
        <w:t>Reference</w:t>
      </w:r>
    </w:p>
    <w:p w14:paraId="2597A1C2" w14:textId="0EC69417" w:rsidR="00980613" w:rsidRPr="003B5D6F" w:rsidRDefault="00980613" w:rsidP="003B5D6F">
      <w:pPr>
        <w:spacing w:line="480" w:lineRule="auto"/>
        <w:ind w:left="720" w:hanging="720"/>
        <w:rPr>
          <w:rFonts w:ascii="Times New Roman" w:hAnsi="Times New Roman" w:cs="Times New Roman"/>
          <w:color w:val="1B1B1B"/>
          <w:sz w:val="24"/>
          <w:szCs w:val="24"/>
          <w:shd w:val="clear" w:color="auto" w:fill="FFFFFF"/>
        </w:rPr>
      </w:pPr>
      <w:r w:rsidRPr="003B5D6F">
        <w:rPr>
          <w:rFonts w:ascii="Times New Roman" w:hAnsi="Times New Roman" w:cs="Times New Roman"/>
          <w:color w:val="1B1B1B"/>
          <w:sz w:val="24"/>
          <w:szCs w:val="24"/>
          <w:shd w:val="clear" w:color="auto" w:fill="FFFFFF"/>
        </w:rPr>
        <w:t>Centers for Disease Control and Prevention (CDC). Accessed online on march 2021.</w:t>
      </w:r>
      <w:r w:rsidRPr="003B5D6F">
        <w:rPr>
          <w:rFonts w:ascii="Times New Roman" w:hAnsi="Times New Roman" w:cs="Times New Roman"/>
          <w:sz w:val="24"/>
          <w:szCs w:val="24"/>
        </w:rPr>
        <w:t xml:space="preserve"> </w:t>
      </w:r>
      <w:hyperlink r:id="rId7" w:history="1">
        <w:r w:rsidRPr="003B5D6F">
          <w:rPr>
            <w:rStyle w:val="Hyperlink"/>
            <w:rFonts w:ascii="Times New Roman" w:hAnsi="Times New Roman" w:cs="Times New Roman"/>
            <w:sz w:val="24"/>
            <w:szCs w:val="24"/>
            <w:shd w:val="clear" w:color="auto" w:fill="FFFFFF"/>
          </w:rPr>
          <w:t>https://www.cdc.gov/arthritis/basics/rheumatoid-arthritis.html</w:t>
        </w:r>
      </w:hyperlink>
    </w:p>
    <w:p w14:paraId="3F1FEA82" w14:textId="5B3FC6A1" w:rsidR="00980613" w:rsidRPr="003B5D6F" w:rsidRDefault="004F1ED0" w:rsidP="003B5D6F">
      <w:pPr>
        <w:spacing w:line="480" w:lineRule="auto"/>
        <w:ind w:left="720" w:hanging="720"/>
        <w:rPr>
          <w:rFonts w:ascii="Times New Roman" w:hAnsi="Times New Roman" w:cs="Times New Roman"/>
          <w:color w:val="1B1B1B"/>
          <w:sz w:val="24"/>
          <w:szCs w:val="24"/>
          <w:shd w:val="clear" w:color="auto" w:fill="FFFFFF"/>
        </w:rPr>
      </w:pPr>
      <w:r w:rsidRPr="003B5D6F">
        <w:rPr>
          <w:rFonts w:ascii="Times New Roman" w:hAnsi="Times New Roman" w:cs="Times New Roman"/>
          <w:color w:val="222222"/>
          <w:sz w:val="24"/>
          <w:szCs w:val="24"/>
          <w:shd w:val="clear" w:color="auto" w:fill="FFFFFF"/>
        </w:rPr>
        <w:t>.</w:t>
      </w:r>
      <w:r w:rsidR="003858FC" w:rsidRPr="003858FC">
        <w:t xml:space="preserve"> </w:t>
      </w:r>
      <w:bookmarkStart w:id="0" w:name="_Hlk67392367"/>
      <w:r w:rsidR="003858FC" w:rsidRPr="003858FC">
        <w:rPr>
          <w:rFonts w:ascii="Times New Roman" w:hAnsi="Times New Roman" w:cs="Times New Roman"/>
          <w:color w:val="222222"/>
          <w:sz w:val="24"/>
          <w:szCs w:val="24"/>
          <w:shd w:val="clear" w:color="auto" w:fill="FFFFFF"/>
        </w:rPr>
        <w:t xml:space="preserve">Van Hoovels, L., Jacobs, J., Vander </w:t>
      </w:r>
      <w:proofErr w:type="spellStart"/>
      <w:r w:rsidR="003858FC" w:rsidRPr="003858FC">
        <w:rPr>
          <w:rFonts w:ascii="Times New Roman" w:hAnsi="Times New Roman" w:cs="Times New Roman"/>
          <w:color w:val="222222"/>
          <w:sz w:val="24"/>
          <w:szCs w:val="24"/>
          <w:shd w:val="clear" w:color="auto" w:fill="FFFFFF"/>
        </w:rPr>
        <w:t>Cruyssen</w:t>
      </w:r>
      <w:proofErr w:type="spellEnd"/>
      <w:r w:rsidR="003858FC" w:rsidRPr="003858FC">
        <w:rPr>
          <w:rFonts w:ascii="Times New Roman" w:hAnsi="Times New Roman" w:cs="Times New Roman"/>
          <w:color w:val="222222"/>
          <w:sz w:val="24"/>
          <w:szCs w:val="24"/>
          <w:shd w:val="clear" w:color="auto" w:fill="FFFFFF"/>
        </w:rPr>
        <w:t xml:space="preserve">, B., Van den </w:t>
      </w:r>
      <w:proofErr w:type="spellStart"/>
      <w:r w:rsidR="003858FC" w:rsidRPr="003858FC">
        <w:rPr>
          <w:rFonts w:ascii="Times New Roman" w:hAnsi="Times New Roman" w:cs="Times New Roman"/>
          <w:color w:val="222222"/>
          <w:sz w:val="24"/>
          <w:szCs w:val="24"/>
          <w:shd w:val="clear" w:color="auto" w:fill="FFFFFF"/>
        </w:rPr>
        <w:t>Bremt</w:t>
      </w:r>
      <w:proofErr w:type="spellEnd"/>
      <w:r w:rsidR="003858FC" w:rsidRPr="003858FC">
        <w:rPr>
          <w:rFonts w:ascii="Times New Roman" w:hAnsi="Times New Roman" w:cs="Times New Roman"/>
          <w:color w:val="222222"/>
          <w:sz w:val="24"/>
          <w:szCs w:val="24"/>
          <w:shd w:val="clear" w:color="auto" w:fill="FFFFFF"/>
        </w:rPr>
        <w:t xml:space="preserve">, S., </w:t>
      </w:r>
      <w:proofErr w:type="spellStart"/>
      <w:r w:rsidR="003858FC" w:rsidRPr="003858FC">
        <w:rPr>
          <w:rFonts w:ascii="Times New Roman" w:hAnsi="Times New Roman" w:cs="Times New Roman"/>
          <w:color w:val="222222"/>
          <w:sz w:val="24"/>
          <w:szCs w:val="24"/>
          <w:shd w:val="clear" w:color="auto" w:fill="FFFFFF"/>
        </w:rPr>
        <w:t>Verschueren</w:t>
      </w:r>
      <w:proofErr w:type="spellEnd"/>
      <w:r w:rsidR="003858FC" w:rsidRPr="003858FC">
        <w:rPr>
          <w:rFonts w:ascii="Times New Roman" w:hAnsi="Times New Roman" w:cs="Times New Roman"/>
          <w:color w:val="222222"/>
          <w:sz w:val="24"/>
          <w:szCs w:val="24"/>
          <w:shd w:val="clear" w:color="auto" w:fill="FFFFFF"/>
        </w:rPr>
        <w:t xml:space="preserve">, P., &amp; </w:t>
      </w:r>
      <w:proofErr w:type="spellStart"/>
      <w:r w:rsidR="003858FC" w:rsidRPr="003858FC">
        <w:rPr>
          <w:rFonts w:ascii="Times New Roman" w:hAnsi="Times New Roman" w:cs="Times New Roman"/>
          <w:color w:val="222222"/>
          <w:sz w:val="24"/>
          <w:szCs w:val="24"/>
          <w:shd w:val="clear" w:color="auto" w:fill="FFFFFF"/>
        </w:rPr>
        <w:t>Bossuyt</w:t>
      </w:r>
      <w:proofErr w:type="spellEnd"/>
      <w:r w:rsidR="003858FC" w:rsidRPr="003858FC">
        <w:rPr>
          <w:rFonts w:ascii="Times New Roman" w:hAnsi="Times New Roman" w:cs="Times New Roman"/>
          <w:color w:val="222222"/>
          <w:sz w:val="24"/>
          <w:szCs w:val="24"/>
          <w:shd w:val="clear" w:color="auto" w:fill="FFFFFF"/>
        </w:rPr>
        <w:t xml:space="preserve">, X. (2018). </w:t>
      </w:r>
      <w:bookmarkEnd w:id="0"/>
      <w:r w:rsidR="003858FC" w:rsidRPr="003858FC">
        <w:rPr>
          <w:rFonts w:ascii="Times New Roman" w:hAnsi="Times New Roman" w:cs="Times New Roman"/>
          <w:color w:val="222222"/>
          <w:sz w:val="24"/>
          <w:szCs w:val="24"/>
          <w:shd w:val="clear" w:color="auto" w:fill="FFFFFF"/>
        </w:rPr>
        <w:t>Performance characteristics of rheumatoid factor and anti-cyclic citrullinated peptide antibody assays may impact ACR/EULAR classification of rheumatoid arthritis. Annals of the rheumatic diseases, 77(5), 667-677.</w:t>
      </w:r>
    </w:p>
    <w:sectPr w:rsidR="00980613" w:rsidRPr="003B5D6F" w:rsidSect="003B4E6F">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11EA7" w14:textId="77777777" w:rsidR="00375EB1" w:rsidRDefault="00375EB1" w:rsidP="003B4E6F">
      <w:pPr>
        <w:spacing w:after="0" w:line="240" w:lineRule="auto"/>
      </w:pPr>
      <w:r>
        <w:separator/>
      </w:r>
    </w:p>
  </w:endnote>
  <w:endnote w:type="continuationSeparator" w:id="0">
    <w:p w14:paraId="7408B41D" w14:textId="77777777" w:rsidR="00375EB1" w:rsidRDefault="00375EB1" w:rsidP="003B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6F11D" w14:textId="77777777" w:rsidR="00375EB1" w:rsidRDefault="00375EB1" w:rsidP="003B4E6F">
      <w:pPr>
        <w:spacing w:after="0" w:line="240" w:lineRule="auto"/>
      </w:pPr>
      <w:r>
        <w:separator/>
      </w:r>
    </w:p>
  </w:footnote>
  <w:footnote w:type="continuationSeparator" w:id="0">
    <w:p w14:paraId="212C4096" w14:textId="77777777" w:rsidR="00375EB1" w:rsidRDefault="00375EB1" w:rsidP="003B4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CF7D2" w14:textId="32E84B7F" w:rsidR="003B4E6F" w:rsidRDefault="003B4E6F">
    <w:pPr>
      <w:pStyle w:val="Header"/>
      <w:jc w:val="right"/>
    </w:pPr>
    <w:r w:rsidRPr="003B4E6F">
      <w:rPr>
        <w:rFonts w:ascii="Times New Roman" w:hAnsi="Times New Roman" w:cs="Times New Roman"/>
        <w:sz w:val="24"/>
        <w:szCs w:val="24"/>
      </w:rPr>
      <w:t>RESPONSE</w:t>
    </w:r>
    <w:r>
      <w:t xml:space="preserve">                                                                                                                                                                 </w:t>
    </w:r>
    <w:sdt>
      <w:sdtPr>
        <w:id w:val="-1996254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02F8AFA" w14:textId="64F7F8B4" w:rsidR="003B4E6F" w:rsidRDefault="003B4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E7A8" w14:textId="4ED3AC28" w:rsidR="003B4E6F" w:rsidRDefault="003B4E6F">
    <w:pPr>
      <w:pStyle w:val="Header"/>
    </w:pPr>
    <w:r w:rsidRPr="003B4E6F">
      <w:rPr>
        <w:rFonts w:ascii="Times New Roman" w:hAnsi="Times New Roman" w:cs="Times New Roman"/>
        <w:sz w:val="24"/>
        <w:szCs w:val="24"/>
      </w:rPr>
      <w:t>Running Head: RESPONSE</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033A5F"/>
    <w:multiLevelType w:val="hybridMultilevel"/>
    <w:tmpl w:val="9F10CAA2"/>
    <w:lvl w:ilvl="0" w:tplc="07CC5E66">
      <w:numFmt w:val="bullet"/>
      <w:lvlText w:val="-"/>
      <w:lvlJc w:val="left"/>
      <w:pPr>
        <w:ind w:left="720" w:hanging="360"/>
      </w:pPr>
      <w:rPr>
        <w:rFonts w:ascii="Helvetica" w:eastAsia="Calibri" w:hAnsi="Helvetica" w:cs="Helvetica" w:hint="default"/>
        <w:color w:val="1B1B1B"/>
        <w:sz w:val="27"/>
      </w:rPr>
    </w:lvl>
    <w:lvl w:ilvl="1" w:tplc="F0F0BFB2" w:tentative="1">
      <w:start w:val="1"/>
      <w:numFmt w:val="bullet"/>
      <w:lvlText w:val="o"/>
      <w:lvlJc w:val="left"/>
      <w:pPr>
        <w:ind w:left="1440" w:hanging="360"/>
      </w:pPr>
      <w:rPr>
        <w:rFonts w:ascii="Courier New" w:hAnsi="Courier New" w:cs="Courier New" w:hint="default"/>
      </w:rPr>
    </w:lvl>
    <w:lvl w:ilvl="2" w:tplc="8878F7B6" w:tentative="1">
      <w:start w:val="1"/>
      <w:numFmt w:val="bullet"/>
      <w:lvlText w:val=""/>
      <w:lvlJc w:val="left"/>
      <w:pPr>
        <w:ind w:left="2160" w:hanging="360"/>
      </w:pPr>
      <w:rPr>
        <w:rFonts w:ascii="Wingdings" w:hAnsi="Wingdings" w:hint="default"/>
      </w:rPr>
    </w:lvl>
    <w:lvl w:ilvl="3" w:tplc="93440A60" w:tentative="1">
      <w:start w:val="1"/>
      <w:numFmt w:val="bullet"/>
      <w:lvlText w:val=""/>
      <w:lvlJc w:val="left"/>
      <w:pPr>
        <w:ind w:left="2880" w:hanging="360"/>
      </w:pPr>
      <w:rPr>
        <w:rFonts w:ascii="Symbol" w:hAnsi="Symbol" w:hint="default"/>
      </w:rPr>
    </w:lvl>
    <w:lvl w:ilvl="4" w:tplc="66FE7946" w:tentative="1">
      <w:start w:val="1"/>
      <w:numFmt w:val="bullet"/>
      <w:lvlText w:val="o"/>
      <w:lvlJc w:val="left"/>
      <w:pPr>
        <w:ind w:left="3600" w:hanging="360"/>
      </w:pPr>
      <w:rPr>
        <w:rFonts w:ascii="Courier New" w:hAnsi="Courier New" w:cs="Courier New" w:hint="default"/>
      </w:rPr>
    </w:lvl>
    <w:lvl w:ilvl="5" w:tplc="DA68403C" w:tentative="1">
      <w:start w:val="1"/>
      <w:numFmt w:val="bullet"/>
      <w:lvlText w:val=""/>
      <w:lvlJc w:val="left"/>
      <w:pPr>
        <w:ind w:left="4320" w:hanging="360"/>
      </w:pPr>
      <w:rPr>
        <w:rFonts w:ascii="Wingdings" w:hAnsi="Wingdings" w:hint="default"/>
      </w:rPr>
    </w:lvl>
    <w:lvl w:ilvl="6" w:tplc="D31A3CC6" w:tentative="1">
      <w:start w:val="1"/>
      <w:numFmt w:val="bullet"/>
      <w:lvlText w:val=""/>
      <w:lvlJc w:val="left"/>
      <w:pPr>
        <w:ind w:left="5040" w:hanging="360"/>
      </w:pPr>
      <w:rPr>
        <w:rFonts w:ascii="Symbol" w:hAnsi="Symbol" w:hint="default"/>
      </w:rPr>
    </w:lvl>
    <w:lvl w:ilvl="7" w:tplc="CB840066" w:tentative="1">
      <w:start w:val="1"/>
      <w:numFmt w:val="bullet"/>
      <w:lvlText w:val="o"/>
      <w:lvlJc w:val="left"/>
      <w:pPr>
        <w:ind w:left="5760" w:hanging="360"/>
      </w:pPr>
      <w:rPr>
        <w:rFonts w:ascii="Courier New" w:hAnsi="Courier New" w:cs="Courier New" w:hint="default"/>
      </w:rPr>
    </w:lvl>
    <w:lvl w:ilvl="8" w:tplc="A108179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1B"/>
    <w:rsid w:val="00375EB1"/>
    <w:rsid w:val="003858FC"/>
    <w:rsid w:val="003B4E6F"/>
    <w:rsid w:val="003B5D6F"/>
    <w:rsid w:val="004F1ED0"/>
    <w:rsid w:val="00980613"/>
    <w:rsid w:val="00C14F1B"/>
    <w:rsid w:val="00EA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0664"/>
  <w15:docId w15:val="{D5ECC842-25CA-4049-8930-EF41F9FE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980613"/>
    <w:rPr>
      <w:color w:val="0000FF" w:themeColor="hyperlink"/>
      <w:u w:val="single"/>
    </w:rPr>
  </w:style>
  <w:style w:type="character" w:styleId="UnresolvedMention">
    <w:name w:val="Unresolved Mention"/>
    <w:basedOn w:val="DefaultParagraphFont"/>
    <w:uiPriority w:val="99"/>
    <w:semiHidden/>
    <w:unhideWhenUsed/>
    <w:rsid w:val="00980613"/>
    <w:rPr>
      <w:color w:val="605E5C"/>
      <w:shd w:val="clear" w:color="auto" w:fill="E1DFDD"/>
    </w:rPr>
  </w:style>
  <w:style w:type="paragraph" w:styleId="Header">
    <w:name w:val="header"/>
    <w:basedOn w:val="Normal"/>
    <w:link w:val="HeaderChar"/>
    <w:uiPriority w:val="99"/>
    <w:unhideWhenUsed/>
    <w:rsid w:val="003B4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E6F"/>
  </w:style>
  <w:style w:type="paragraph" w:styleId="Footer">
    <w:name w:val="footer"/>
    <w:basedOn w:val="Normal"/>
    <w:link w:val="FooterChar"/>
    <w:uiPriority w:val="99"/>
    <w:unhideWhenUsed/>
    <w:rsid w:val="003B4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arthritis/basics/rheumatoid-arthriti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2021-03-23T08:46:00Z</dcterms:created>
  <dcterms:modified xsi:type="dcterms:W3CDTF">2021-03-23T08:46:00Z</dcterms:modified>
</cp:coreProperties>
</file>